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8FA3" w14:textId="77777777" w:rsidR="00E03A00" w:rsidRPr="002C32C3" w:rsidRDefault="00E03A00" w:rsidP="00E03A00">
      <w:pPr>
        <w:pStyle w:val="OZNPROJEKTUwskazaniedatylubwersjiprojektu"/>
        <w:rPr>
          <w:rFonts w:cs="Times New Roman"/>
          <w:spacing w:val="6"/>
        </w:rPr>
      </w:pPr>
      <w:r w:rsidRPr="002C32C3">
        <w:rPr>
          <w:rFonts w:cs="Times New Roman"/>
          <w:spacing w:val="6"/>
        </w:rPr>
        <w:t>Projekt</w:t>
      </w:r>
    </w:p>
    <w:p w14:paraId="775F3D0C" w14:textId="77777777" w:rsidR="00E03A00" w:rsidRPr="002C32C3" w:rsidRDefault="00E03A00" w:rsidP="00E03A00">
      <w:pPr>
        <w:pStyle w:val="OZNRODZAKTUtznustawalubrozporzdzenieiorganwydajcy"/>
        <w:rPr>
          <w:rFonts w:ascii="Times New Roman" w:hAnsi="Times New Roman"/>
          <w:spacing w:val="6"/>
        </w:rPr>
      </w:pPr>
      <w:r w:rsidRPr="002C32C3">
        <w:rPr>
          <w:rFonts w:ascii="Times New Roman" w:hAnsi="Times New Roman"/>
          <w:spacing w:val="6"/>
        </w:rPr>
        <w:t> USTAWA</w:t>
      </w:r>
    </w:p>
    <w:p w14:paraId="1BB5F796" w14:textId="77777777" w:rsidR="00E03A00" w:rsidRPr="002C32C3" w:rsidRDefault="00E03A00" w:rsidP="00E03A00">
      <w:pPr>
        <w:pStyle w:val="DATAAKTUdatauchwalenialubwydaniaaktu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>z dnia ...................................</w:t>
      </w:r>
    </w:p>
    <w:p w14:paraId="2EE803A5" w14:textId="77777777" w:rsidR="00E03A00" w:rsidRPr="002C32C3" w:rsidRDefault="00E03A00" w:rsidP="00E03A00">
      <w:pPr>
        <w:pStyle w:val="TYTUAKTUprzedmiotregulacjiustawylubrozporzdzenia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> o zmianie ustawy o ochronie praw nabywcy lokalu mieszkalnego lub domu jednorodzinnego oraz Deweloperskim Funduszu Gwarancyjnym</w:t>
      </w:r>
    </w:p>
    <w:p w14:paraId="15E095BA" w14:textId="77777777" w:rsidR="00E03A00" w:rsidRPr="002C32C3" w:rsidRDefault="00E03A00" w:rsidP="00E03A00">
      <w:pPr>
        <w:pStyle w:val="ARTartustawynprozporzdzenia"/>
        <w:rPr>
          <w:rFonts w:ascii="Times New Roman" w:hAnsi="Times New Roman" w:cs="Times New Roman"/>
          <w:spacing w:val="6"/>
        </w:rPr>
      </w:pPr>
      <w:r w:rsidRPr="002C32C3">
        <w:rPr>
          <w:rStyle w:val="Ppogrubienie"/>
          <w:rFonts w:ascii="Times New Roman" w:hAnsi="Times New Roman" w:cs="Times New Roman"/>
          <w:spacing w:val="6"/>
        </w:rPr>
        <w:t>Art. 1.</w:t>
      </w:r>
      <w:r w:rsidRPr="002C32C3">
        <w:rPr>
          <w:rFonts w:ascii="Times New Roman" w:hAnsi="Times New Roman" w:cs="Times New Roman"/>
          <w:spacing w:val="6"/>
        </w:rPr>
        <w:t>  W ustawie z dnia 20 maja 2021 r. o ochronie praw nabywcy lokalu mieszkalnego lub domu jednorodzinnego oraz Deweloperskim Funduszu Gwarancyjnym (Dz. U. z 2024 r. poz. 695) po art. 41 dodaje się art. 41a w brzmieniu:</w:t>
      </w:r>
    </w:p>
    <w:p w14:paraId="63DCD0AB" w14:textId="77777777" w:rsidR="00E03A00" w:rsidRPr="002C32C3" w:rsidRDefault="00E03A00" w:rsidP="00E03A00">
      <w:pPr>
        <w:pStyle w:val="ZUSTzmustartykuempunktem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 xml:space="preserve">„Art. 41a. W przypadku przeniesienia na nabywcę praw wynikających z umowy deweloperskiej, umowy, o której mowa w art. 2 ust. 1 pkt 2, 3 lub 5, w zakresie nieuregulowanym w przepisach art. 41, oraz umowy, o której mowa w art. 2 ust. 2, do odpowiedzialności dewelopera za wady fizyczne i prawne stosuje się przepisy </w:t>
      </w:r>
      <w:hyperlink r:id="rId6" w:anchor="/document/16785996" w:history="1">
        <w:r w:rsidRPr="002C32C3">
          <w:rPr>
            <w:rFonts w:ascii="Times New Roman" w:hAnsi="Times New Roman" w:cs="Times New Roman"/>
            <w:spacing w:val="6"/>
          </w:rPr>
          <w:t>ustawy</w:t>
        </w:r>
      </w:hyperlink>
      <w:r w:rsidRPr="002C32C3">
        <w:rPr>
          <w:rFonts w:ascii="Times New Roman" w:hAnsi="Times New Roman" w:cs="Times New Roman"/>
          <w:spacing w:val="6"/>
        </w:rPr>
        <w:t xml:space="preserve"> z dnia 23 kwietnia 1964 r. – Kodeks cywilny o rękojmi przy sprzedaży.”.</w:t>
      </w:r>
    </w:p>
    <w:p w14:paraId="293E10A1" w14:textId="77777777" w:rsidR="00E03A00" w:rsidRPr="002C32C3" w:rsidRDefault="00E03A00" w:rsidP="00E03A00">
      <w:pPr>
        <w:pStyle w:val="ARTartustawynprozporzdzenia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> </w:t>
      </w:r>
      <w:r w:rsidRPr="002C32C3">
        <w:rPr>
          <w:rStyle w:val="Ppogrubienie"/>
          <w:rFonts w:ascii="Times New Roman" w:hAnsi="Times New Roman" w:cs="Times New Roman"/>
          <w:spacing w:val="6"/>
        </w:rPr>
        <w:t>Art. 2.</w:t>
      </w:r>
      <w:r w:rsidRPr="002C32C3">
        <w:rPr>
          <w:rFonts w:ascii="Times New Roman" w:hAnsi="Times New Roman" w:cs="Times New Roman"/>
          <w:spacing w:val="6"/>
        </w:rPr>
        <w:t>  Ustawa wchodzi w życie po upływie 14 dni od dnia ogłoszenia.</w:t>
      </w:r>
    </w:p>
    <w:p w14:paraId="4D10C887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</w:p>
    <w:p w14:paraId="17E9CD4B" w14:textId="77777777" w:rsidR="00E03A00" w:rsidRPr="002C32C3" w:rsidRDefault="00E03A00" w:rsidP="00E03A00">
      <w:pPr>
        <w:spacing w:after="0" w:line="360" w:lineRule="auto"/>
        <w:rPr>
          <w:rFonts w:ascii="Times New Roman" w:eastAsiaTheme="minorEastAsia" w:hAnsi="Times New Roman" w:cs="Times New Roman"/>
          <w:bCs/>
          <w:spacing w:val="6"/>
          <w:sz w:val="24"/>
          <w:szCs w:val="20"/>
          <w:lang w:eastAsia="pl-PL"/>
        </w:rPr>
      </w:pPr>
      <w:r w:rsidRPr="002C32C3">
        <w:rPr>
          <w:rFonts w:ascii="Times New Roman" w:hAnsi="Times New Roman" w:cs="Times New Roman"/>
          <w:spacing w:val="6"/>
        </w:rPr>
        <w:br w:type="page"/>
      </w:r>
    </w:p>
    <w:p w14:paraId="7F757F73" w14:textId="77777777" w:rsidR="00E03A00" w:rsidRPr="002C32C3" w:rsidRDefault="00E03A00" w:rsidP="00E03A00">
      <w:pPr>
        <w:pStyle w:val="OZNRODZAKTUtznustawalubrozporzdzenieiorganwydajcy"/>
        <w:rPr>
          <w:rFonts w:ascii="Times New Roman" w:hAnsi="Times New Roman"/>
          <w:spacing w:val="6"/>
        </w:rPr>
      </w:pPr>
      <w:r w:rsidRPr="002C32C3">
        <w:rPr>
          <w:rFonts w:ascii="Times New Roman" w:hAnsi="Times New Roman"/>
          <w:spacing w:val="6"/>
        </w:rPr>
        <w:lastRenderedPageBreak/>
        <w:t>Uzasadnienie</w:t>
      </w:r>
    </w:p>
    <w:p w14:paraId="59A74A60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>W istniejącym stanie prawnym nabywca lokalu mieszkalnego lub domu jednorodzinnego, którego własność jest przenoszona, jako skutek wcześniej zawartej umowy deweloperskiej lub innej umowy zobowiązującej do przeniesienia własności, zawartej z deweloperem, znajduje się w gorszej sytuacji w zakresie odpowiedzialności dewelopera niż nabywca lokalu lub domu nabytego w wyniku umowy sprzedaży bezpośrednio przenoszącej własność lokalu lub domu.</w:t>
      </w:r>
    </w:p>
    <w:p w14:paraId="01DD186D" w14:textId="77777777" w:rsidR="00E03A00" w:rsidRPr="002034D0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 xml:space="preserve">Poprzednio obowiązująca ustawa z dnia 16 września 2011 r. o ochronie praw nabywcy lokalu mieszkalnego lub domu jednorodzinnego (Dz. U. z 2021 r. poz. 1445), uchylona z dniem 1 lipca 2022 r., zawierała przepis art. 27 ust. 6, zgodnie z którym w zakresie nieuregulowanym w przepisach dotyczących odbioru gotowego lokalu lub domu, do odpowiedzialności dewelopera za </w:t>
      </w:r>
      <w:r w:rsidRPr="002034D0">
        <w:rPr>
          <w:rFonts w:ascii="Times New Roman" w:hAnsi="Times New Roman" w:cs="Times New Roman"/>
          <w:spacing w:val="6"/>
        </w:rPr>
        <w:t xml:space="preserve">wady fizyczne i prawne lokalu mieszkalnego lub domu jednorodzinnego stosowane były przepisy Kodeksu cywilnego o rękojmi. </w:t>
      </w:r>
    </w:p>
    <w:p w14:paraId="19FEAF05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  <w:r w:rsidRPr="002034D0">
        <w:rPr>
          <w:rFonts w:ascii="Times New Roman" w:hAnsi="Times New Roman" w:cs="Times New Roman"/>
          <w:spacing w:val="6"/>
        </w:rPr>
        <w:t>W przepisach nowej ustawy z dnia 20 maja 2021 r. o ochronie praw nabywcy lokalu mieszkalnego lub domu jednorodzinnego oraz Deweloperskim Funduszu Gwarancyjnym, brak stosownego odesłania do przepisów Kodeksu cywilnego o rękojmi, zatem uznać należy, iż nie została przewidziana wprost odpowiedzialność dewelopera za</w:t>
      </w:r>
      <w:r w:rsidRPr="002C32C3">
        <w:rPr>
          <w:rFonts w:ascii="Times New Roman" w:hAnsi="Times New Roman" w:cs="Times New Roman"/>
          <w:spacing w:val="6"/>
        </w:rPr>
        <w:t xml:space="preserve"> wady w tym reżimie w przypadku umów niebędących umowami sprzedaży, a odpowiedzialność dewelopera za stwierdzone wady oparta jest na zasadach ogólnych – odpowiedzialności za nienależyte wykonanie umowy - art. 471 i n. k.c. (Pogląd taki wyrazili między innymi A. Goldiszewicz, </w:t>
      </w:r>
      <w:r w:rsidRPr="002C32C3">
        <w:rPr>
          <w:rStyle w:val="Kkursywa"/>
          <w:rFonts w:ascii="Times New Roman" w:hAnsi="Times New Roman" w:cs="Times New Roman"/>
          <w:spacing w:val="6"/>
        </w:rPr>
        <w:t>Ustawa o ochronie praw nabywcy lokalu mieszkalnego lub domu jednorodzinnego oraz Deweloperskim Funduszu Gwarancyjnym. Komentarz,</w:t>
      </w:r>
      <w:r w:rsidRPr="002C32C3">
        <w:rPr>
          <w:rFonts w:ascii="Times New Roman" w:hAnsi="Times New Roman" w:cs="Times New Roman"/>
          <w:spacing w:val="6"/>
        </w:rPr>
        <w:t xml:space="preserve">P. Jarzyński, A. Grabowska-Toś, </w:t>
      </w:r>
      <w:r w:rsidRPr="002C32C3">
        <w:rPr>
          <w:rStyle w:val="Kkursywa"/>
          <w:rFonts w:ascii="Times New Roman" w:hAnsi="Times New Roman" w:cs="Times New Roman"/>
          <w:spacing w:val="6"/>
        </w:rPr>
        <w:t>Sprawdź, jaką odpowiedzialność za wady lokalu ponosi deweloper</w:t>
      </w:r>
      <w:r w:rsidRPr="002C32C3">
        <w:rPr>
          <w:rFonts w:ascii="Times New Roman" w:hAnsi="Times New Roman" w:cs="Times New Roman"/>
          <w:spacing w:val="6"/>
        </w:rPr>
        <w:t xml:space="preserve">, Dziennik Gazeta Prawna 10.10.2023 r., Jolanta Szymczyk-Przewoźna, </w:t>
      </w:r>
      <w:r w:rsidRPr="002C32C3">
        <w:rPr>
          <w:rFonts w:ascii="Times New Roman" w:hAnsi="Times New Roman" w:cs="Times New Roman"/>
          <w:i/>
          <w:iCs/>
          <w:spacing w:val="6"/>
        </w:rPr>
        <w:t>Odpowiedzialność dewelopera za wady lokalu zależy od rodzaju umowy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2C32C3">
        <w:rPr>
          <w:rFonts w:ascii="Times New Roman" w:hAnsi="Times New Roman" w:cs="Times New Roman"/>
          <w:spacing w:val="6"/>
        </w:rPr>
        <w:t>Dziennik Gazeta Prawna</w:t>
      </w:r>
      <w:r>
        <w:rPr>
          <w:rFonts w:ascii="Times New Roman" w:hAnsi="Times New Roman" w:cs="Times New Roman"/>
          <w:spacing w:val="6"/>
        </w:rPr>
        <w:t xml:space="preserve"> </w:t>
      </w:r>
      <w:r w:rsidRPr="002C32C3">
        <w:rPr>
          <w:rFonts w:ascii="Times New Roman" w:hAnsi="Times New Roman" w:cs="Times New Roman"/>
          <w:spacing w:val="6"/>
        </w:rPr>
        <w:t>25.04.2025 r</w:t>
      </w:r>
      <w:r w:rsidRPr="002C32C3">
        <w:rPr>
          <w:rFonts w:ascii="Times New Roman" w:hAnsi="Times New Roman" w:cs="Times New Roman"/>
          <w:i/>
          <w:iCs/>
          <w:spacing w:val="6"/>
        </w:rPr>
        <w:t>.</w:t>
      </w:r>
      <w:r w:rsidRPr="002C32C3">
        <w:rPr>
          <w:rFonts w:ascii="Times New Roman" w:hAnsi="Times New Roman" w:cs="Times New Roman"/>
          <w:spacing w:val="6"/>
        </w:rPr>
        <w:t>).</w:t>
      </w:r>
    </w:p>
    <w:p w14:paraId="5A8D06BE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 xml:space="preserve">Proponowany projekt usuwa obecnie istniejącą lukę dotyczącą tej kwestii, przyznając nabywcy </w:t>
      </w:r>
      <w:r w:rsidRPr="00470238">
        <w:rPr>
          <w:rFonts w:ascii="Times New Roman" w:hAnsi="Times New Roman" w:cs="Times New Roman"/>
          <w:spacing w:val="6"/>
        </w:rPr>
        <w:t>możliwość zgłaszania deweloperowi wad w ramach rękojmi w przypadku umów deweloperskich albo innej umowy, o której mowa w art. 2 ust. 1 pkt 2, 3 lub 5 albo ust. 2, a zatem do umów niebędących umowami sprzedaży, już po przeniesieniu własności w wyniku zawarcia takich umów. Proponowana</w:t>
      </w:r>
      <w:r w:rsidRPr="002C32C3">
        <w:rPr>
          <w:rFonts w:ascii="Times New Roman" w:hAnsi="Times New Roman" w:cs="Times New Roman"/>
          <w:spacing w:val="6"/>
        </w:rPr>
        <w:t xml:space="preserve"> zmiana przewiduje więc rozszerzenie ochrony na pozostałe typy umów, do których stosuje się przepisy ustawy z dnia 20 maja </w:t>
      </w:r>
      <w:r w:rsidRPr="002C32C3">
        <w:rPr>
          <w:rFonts w:ascii="Times New Roman" w:hAnsi="Times New Roman" w:cs="Times New Roman"/>
          <w:spacing w:val="6"/>
        </w:rPr>
        <w:lastRenderedPageBreak/>
        <w:t>2021 r. o ochronie praw nabywcy lokalu mieszkalnego lub domu jednorodzinnego oraz Deweloperskim Funduszu Gwarancyjnym.</w:t>
      </w:r>
    </w:p>
    <w:p w14:paraId="6F489324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 xml:space="preserve">Zakres odpowiedzialności obejmuje nie tylko wady lokalu mieszkalnego lub domu jednorodzinnego, ale również odnosi się do wad części wspólnych przedsięwzięcia wielolokalowego oraz innej niż dom części nieruchomości w przypadku budowy domów jednorodzinnych. </w:t>
      </w:r>
    </w:p>
    <w:p w14:paraId="4E41D067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>Nadto, odwołanie do umowy przewidzianej w art. 2 ust. 2 ustawy rozszerza zakres ochrony także na wady lokalu użytkowego.</w:t>
      </w:r>
    </w:p>
    <w:p w14:paraId="4DE4D0DD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 xml:space="preserve">Odwołanie się w proponowanej zmianie </w:t>
      </w:r>
      <w:r w:rsidRPr="002034D0">
        <w:rPr>
          <w:rFonts w:ascii="Times New Roman" w:hAnsi="Times New Roman" w:cs="Times New Roman"/>
          <w:spacing w:val="6"/>
        </w:rPr>
        <w:t>wprost do reżimu rękojmi przy sprzedaży usuwa pojawiające się wątpliwości w interpretacji poprzednio obowiązującego przepisu art. 27 ust. 6 ustawy z dnia 16 września 2011 r. o ochronie praw nabywcy lokalu mieszkalnego lub domu jednorodzinnego. Nie było bowiem jasne, o które przepisy dotyczące rękojmi w nim chodzi. Przyjmowano dwojakie stanowisko: pierwsze, że stosuje się o przepisy o rękojmi z umowy sprzedaży (art. 556 i n. k.c.), drugie, że chodzi tutaj o przepisy dotyczące rękojmi za wady obiektu budowlanego (art. 656 § 1 k.c. przekierowujący do przepisów dotyczących umowy o dzieło, w tym art. 637 oraz 638 k.c., znów odsyłający do przepisów o rękojmi przy sprzedaży). Biorąc pod uwagę pełniejszy zakres ochrony, jak i fakt, że podstawowym obowią</w:t>
      </w:r>
      <w:r w:rsidRPr="002C32C3">
        <w:rPr>
          <w:rFonts w:ascii="Times New Roman" w:hAnsi="Times New Roman" w:cs="Times New Roman"/>
          <w:spacing w:val="6"/>
        </w:rPr>
        <w:t xml:space="preserve">zkiem dewelopera przy umowach zobowiązujących, podobnie jak w przypadku sprzedawcy, jest przeniesienie na </w:t>
      </w:r>
      <w:r w:rsidRPr="00470238">
        <w:rPr>
          <w:rFonts w:ascii="Times New Roman" w:hAnsi="Times New Roman" w:cs="Times New Roman"/>
          <w:spacing w:val="6"/>
        </w:rPr>
        <w:t>nabywcę własności (użytkowania wieczystego) oznaczonej nieruchomości, zasadne jest odesłanie do przepisów o rękojmi za wady rzeczy sprzedanej (art. 556</w:t>
      </w:r>
      <w:r w:rsidRPr="002C32C3">
        <w:rPr>
          <w:rFonts w:ascii="Times New Roman" w:hAnsi="Times New Roman" w:cs="Times New Roman"/>
          <w:spacing w:val="6"/>
        </w:rPr>
        <w:t xml:space="preserve"> i n. k.c.).</w:t>
      </w:r>
    </w:p>
    <w:p w14:paraId="5E2D9922" w14:textId="77777777" w:rsidR="00E03A00" w:rsidRPr="002C32C3" w:rsidRDefault="00E03A00" w:rsidP="00E03A00">
      <w:pPr>
        <w:pStyle w:val="USTustnpkodeksu"/>
        <w:rPr>
          <w:rFonts w:ascii="Times New Roman" w:hAnsi="Times New Roman" w:cs="Times New Roman"/>
          <w:spacing w:val="6"/>
        </w:rPr>
      </w:pPr>
      <w:r w:rsidRPr="002C32C3">
        <w:rPr>
          <w:rFonts w:ascii="Times New Roman" w:hAnsi="Times New Roman" w:cs="Times New Roman"/>
          <w:spacing w:val="6"/>
        </w:rPr>
        <w:t>Projekt jest zgodny z prawem Unii Europejskiej.</w:t>
      </w:r>
    </w:p>
    <w:p w14:paraId="165887F1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</w:p>
    <w:p w14:paraId="5D63F32E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</w:p>
    <w:p w14:paraId="5E750240" w14:textId="77777777" w:rsidR="00E03A00" w:rsidRPr="002C32C3" w:rsidRDefault="00E03A00" w:rsidP="00E03A00">
      <w:pPr>
        <w:pStyle w:val="ZDANIENASTNOWYWIERSZnpzddrugienowywierszwust"/>
        <w:rPr>
          <w:rFonts w:ascii="Times New Roman" w:hAnsi="Times New Roman" w:cs="Times New Roman"/>
          <w:spacing w:val="6"/>
        </w:rPr>
      </w:pPr>
    </w:p>
    <w:p w14:paraId="49E44996" w14:textId="77777777" w:rsidR="00E03A00" w:rsidRPr="002C32C3" w:rsidRDefault="00E03A00" w:rsidP="00E03A00">
      <w:pPr>
        <w:rPr>
          <w:rFonts w:ascii="Times New Roman" w:hAnsi="Times New Roman" w:cs="Times New Roman"/>
          <w:spacing w:val="6"/>
        </w:rPr>
      </w:pPr>
    </w:p>
    <w:p w14:paraId="3A749A33" w14:textId="77777777" w:rsidR="00F740E1" w:rsidRPr="00E03A00" w:rsidRDefault="00F740E1" w:rsidP="00E03A00"/>
    <w:sectPr w:rsidR="00F740E1" w:rsidRPr="00E03A00" w:rsidSect="00795309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9015" w14:textId="77777777" w:rsidR="00DF0476" w:rsidRDefault="00DF0476">
      <w:pPr>
        <w:spacing w:after="0" w:line="240" w:lineRule="auto"/>
      </w:pPr>
      <w:r>
        <w:separator/>
      </w:r>
    </w:p>
  </w:endnote>
  <w:endnote w:type="continuationSeparator" w:id="0">
    <w:p w14:paraId="7976F01D" w14:textId="77777777" w:rsidR="00DF0476" w:rsidRDefault="00D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D2EB" w14:textId="77777777" w:rsidR="00DF0476" w:rsidRDefault="00DF0476">
      <w:pPr>
        <w:spacing w:after="0" w:line="240" w:lineRule="auto"/>
      </w:pPr>
      <w:r>
        <w:separator/>
      </w:r>
    </w:p>
  </w:footnote>
  <w:footnote w:type="continuationSeparator" w:id="0">
    <w:p w14:paraId="188D91C1" w14:textId="77777777" w:rsidR="00DF0476" w:rsidRDefault="00DF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FF5C" w14:textId="77777777" w:rsidR="008F5CE6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9"/>
    <w:rsid w:val="00006ADC"/>
    <w:rsid w:val="00075991"/>
    <w:rsid w:val="001B7544"/>
    <w:rsid w:val="003557E3"/>
    <w:rsid w:val="00795309"/>
    <w:rsid w:val="008F5CE6"/>
    <w:rsid w:val="00C03281"/>
    <w:rsid w:val="00C76AFA"/>
    <w:rsid w:val="00CE7AEB"/>
    <w:rsid w:val="00DF0476"/>
    <w:rsid w:val="00E03A00"/>
    <w:rsid w:val="00EF6FFA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E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309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3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795309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309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530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530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530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530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5309"/>
    <w:pPr>
      <w:spacing w:before="0"/>
    </w:pPr>
    <w:rPr>
      <w:b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79530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5309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USTustnpkodeksu"/>
    <w:uiPriority w:val="17"/>
    <w:qFormat/>
    <w:rsid w:val="00795309"/>
    <w:pPr>
      <w:spacing w:after="0" w:line="360" w:lineRule="auto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795309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5309"/>
    <w:rPr>
      <w:i/>
    </w:rPr>
  </w:style>
  <w:style w:type="paragraph" w:styleId="Stopka">
    <w:name w:val="footer"/>
    <w:basedOn w:val="Normalny"/>
    <w:link w:val="StopkaZnak"/>
    <w:uiPriority w:val="99"/>
    <w:unhideWhenUsed/>
    <w:rsid w:val="0035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E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2025-05-20T06:19:00Z</dcterms:created>
  <dcterms:modified xsi:type="dcterms:W3CDTF">2025-05-20T06:19:00Z</dcterms:modified>
</cp:coreProperties>
</file>